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2378" w14:textId="77777777" w:rsidR="007407EC" w:rsidRDefault="007407EC">
      <w:pPr>
        <w:pStyle w:val="Title"/>
        <w:rPr>
          <w:kern w:val="0"/>
          <w:sz w:val="24"/>
          <w:szCs w:val="24"/>
          <w14:ligatures w14:val="none"/>
        </w:rPr>
      </w:pPr>
      <w:r>
        <w:t>Comments on Proposed Rule 214</w:t>
      </w:r>
      <w:r>
        <w:noBreakHyphen/>
        <w:t>RICR</w:t>
      </w:r>
      <w:r>
        <w:noBreakHyphen/>
        <w:t>40</w:t>
      </w:r>
      <w:r>
        <w:noBreakHyphen/>
        <w:t>00</w:t>
      </w:r>
      <w:r>
        <w:noBreakHyphen/>
        <w:t>6 – Mental Health Emergency Service Interventions for Children, Youth, and Families</w:t>
      </w:r>
    </w:p>
    <w:p w14:paraId="65207B29" w14:textId="77777777" w:rsidR="007407EC" w:rsidRDefault="007407EC" w:rsidP="007407EC">
      <w:r>
        <w:rPr>
          <w:b/>
          <w:bCs/>
        </w:rPr>
        <w:t>Re:</w:t>
      </w:r>
      <w:r>
        <w:t xml:space="preserve"> Comments on Proposed Rule 214</w:t>
      </w:r>
      <w:r>
        <w:noBreakHyphen/>
        <w:t>RICR</w:t>
      </w:r>
      <w:r>
        <w:noBreakHyphen/>
        <w:t>40</w:t>
      </w:r>
      <w:r>
        <w:noBreakHyphen/>
        <w:t>00</w:t>
      </w:r>
      <w:r>
        <w:noBreakHyphen/>
        <w:t>6 – Mental Health Emergency Service Interventions for Children, Youth, and Families</w:t>
      </w:r>
    </w:p>
    <w:p w14:paraId="0D51D216" w14:textId="77777777" w:rsidR="007407EC" w:rsidRDefault="007407EC">
      <w:pPr>
        <w:pStyle w:val="Heading2"/>
        <w:rPr>
          <w:rFonts w:eastAsia="Times New Roman"/>
          <w:kern w:val="0"/>
          <w:sz w:val="36"/>
          <w:szCs w:val="36"/>
          <w14:ligatures w14:val="none"/>
        </w:rPr>
      </w:pPr>
      <w:r>
        <w:rPr>
          <w:rFonts w:eastAsia="Times New Roman"/>
        </w:rPr>
        <w:t>Overview</w:t>
      </w:r>
    </w:p>
    <w:p w14:paraId="6982069D" w14:textId="77777777" w:rsidR="007407EC" w:rsidRDefault="007407EC" w:rsidP="007407EC">
      <w:r>
        <w:t>Thank you for the opportunity to provide comments on the proposed regulations governing Mental Health Emergency Service Interventions and Mobile Response and Stabilization Services (MRSS). We appreciate DCYF’s commitment to strengthening Rhode Island’s children’s behavioral health crisis system and offer the following comments to support clarity, feasibility, and alignment with best practices.</w:t>
      </w:r>
    </w:p>
    <w:p w14:paraId="02474585" w14:textId="77777777" w:rsidR="007407EC" w:rsidRDefault="007407EC">
      <w:pPr>
        <w:pStyle w:val="Heading2"/>
        <w:rPr>
          <w:rFonts w:eastAsia="Times New Roman"/>
          <w:kern w:val="0"/>
          <w:sz w:val="36"/>
          <w:szCs w:val="36"/>
          <w14:ligatures w14:val="none"/>
        </w:rPr>
      </w:pPr>
      <w:r>
        <w:rPr>
          <w:rFonts w:eastAsia="Times New Roman"/>
        </w:rPr>
        <w:t>Summary of Comments</w:t>
      </w:r>
    </w:p>
    <w:p w14:paraId="6DFB2366" w14:textId="6AD99DA6" w:rsidR="007407EC" w:rsidRDefault="007407EC" w:rsidP="007407EC">
      <w:pPr>
        <w:numPr>
          <w:ilvl w:val="0"/>
          <w:numId w:val="18"/>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rPr>
        <w:t xml:space="preserve">Reporting Requirements </w:t>
      </w:r>
    </w:p>
    <w:p w14:paraId="5689F099"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Age Ranges and Coordination Requirements</w:t>
      </w:r>
    </w:p>
    <w:p w14:paraId="04DFF0D5"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Clinician Qualifications and Staffing</w:t>
      </w:r>
    </w:p>
    <w:p w14:paraId="1E26C74A"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Cultural and Linguistic Competence Requirements</w:t>
      </w:r>
    </w:p>
    <w:p w14:paraId="50B8264B"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Follow</w:t>
      </w:r>
      <w:r>
        <w:rPr>
          <w:rFonts w:ascii="Times New Roman" w:eastAsia="Times New Roman" w:hAnsi="Times New Roman"/>
        </w:rPr>
        <w:noBreakHyphen/>
        <w:t>Up and Stabilization Requirements</w:t>
      </w:r>
    </w:p>
    <w:p w14:paraId="43A1DEDE"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Law Enforcement Involvement</w:t>
      </w:r>
    </w:p>
    <w:p w14:paraId="33EFB966"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Assessment and Screening Tools</w:t>
      </w:r>
    </w:p>
    <w:p w14:paraId="6AB3E433" w14:textId="276F28BE" w:rsidR="007407EC" w:rsidRPr="00F12147" w:rsidRDefault="007407EC" w:rsidP="00F12147">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Training Requirements</w:t>
      </w:r>
    </w:p>
    <w:p w14:paraId="12465C09"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MRSS Billing and DCO Agreements</w:t>
      </w:r>
    </w:p>
    <w:p w14:paraId="30458123" w14:textId="77777777" w:rsidR="007407EC" w:rsidRDefault="007407EC" w:rsidP="007407EC">
      <w:pPr>
        <w:numPr>
          <w:ilvl w:val="0"/>
          <w:numId w:val="18"/>
        </w:numPr>
        <w:spacing w:before="100" w:beforeAutospacing="1" w:after="100" w:afterAutospacing="1" w:line="240" w:lineRule="auto"/>
        <w:rPr>
          <w:rFonts w:ascii="Times New Roman" w:eastAsia="Times New Roman" w:hAnsi="Times New Roman"/>
        </w:rPr>
      </w:pPr>
      <w:r>
        <w:rPr>
          <w:rFonts w:ascii="Times New Roman" w:eastAsia="Times New Roman" w:hAnsi="Times New Roman"/>
        </w:rPr>
        <w:t>Additional Clarifications</w:t>
      </w:r>
    </w:p>
    <w:p w14:paraId="419700C0" w14:textId="77777777" w:rsidR="007407EC" w:rsidRDefault="007407EC">
      <w:pPr>
        <w:pStyle w:val="Heading2"/>
        <w:rPr>
          <w:rFonts w:eastAsia="Times New Roman"/>
          <w:kern w:val="0"/>
          <w:sz w:val="36"/>
          <w:szCs w:val="36"/>
          <w14:ligatures w14:val="none"/>
        </w:rPr>
      </w:pPr>
      <w:r>
        <w:rPr>
          <w:rFonts w:eastAsia="Times New Roman"/>
        </w:rPr>
        <w:t>Detailed Comments</w:t>
      </w:r>
    </w:p>
    <w:p w14:paraId="17DE561C" w14:textId="3FF2F32A" w:rsidR="007407EC" w:rsidRDefault="007407EC">
      <w:pPr>
        <w:pStyle w:val="Heading2"/>
        <w:rPr>
          <w:rFonts w:eastAsia="Times New Roman"/>
          <w:kern w:val="0"/>
          <w:sz w:val="36"/>
          <w:szCs w:val="36"/>
          <w14:ligatures w14:val="none"/>
        </w:rPr>
      </w:pPr>
      <w:r>
        <w:rPr>
          <w:rFonts w:eastAsia="Times New Roman"/>
        </w:rPr>
        <w:t xml:space="preserve">1. Reporting Requirements </w:t>
      </w:r>
    </w:p>
    <w:p w14:paraId="3EABC9DF" w14:textId="3838817D" w:rsidR="007407EC" w:rsidRDefault="007407EC" w:rsidP="0073393E">
      <w:pPr>
        <w:pStyle w:val="ListParagraph"/>
        <w:numPr>
          <w:ilvl w:val="0"/>
          <w:numId w:val="19"/>
        </w:numPr>
      </w:pPr>
      <w:r>
        <w:t xml:space="preserve">We would like to emphasize that providers already submit </w:t>
      </w:r>
      <w:r w:rsidR="00F12147">
        <w:t>all</w:t>
      </w:r>
      <w:r>
        <w:t xml:space="preserve"> the information specified in this proposed rule through existing reporting channels. Therefore, requiring the submission of additional, redundant reports would place an unnecessary administrative burden on providers and increase the risk of discrepancies that would then need to be reconciled. We strongly recommend </w:t>
      </w:r>
      <w:r>
        <w:lastRenderedPageBreak/>
        <w:t>streamlining the reporting process to avoid duplication and reduce the likelihood of errors.</w:t>
      </w:r>
    </w:p>
    <w:p w14:paraId="5D6F779C" w14:textId="705C6D16" w:rsidR="007407EC" w:rsidRPr="00F12147" w:rsidRDefault="007407EC" w:rsidP="0073393E">
      <w:pPr>
        <w:pStyle w:val="ListParagraph"/>
        <w:numPr>
          <w:ilvl w:val="0"/>
          <w:numId w:val="19"/>
        </w:numPr>
        <w:rPr>
          <w:kern w:val="0"/>
          <w14:ligatures w14:val="none"/>
        </w:rPr>
      </w:pPr>
      <w:r>
        <w:t>In addition, much of the relevant data can be accessed electronically. As the state continues to build interoperability across systems, it is important to prioritize minimizing the use of additional manualized spreadsheets, especially when this data is already available electronically to state agencies. Streamlining data access in this manner will reduce redundancy and support more efficient operations.</w:t>
      </w:r>
    </w:p>
    <w:p w14:paraId="38C020FB" w14:textId="77777777" w:rsidR="00F12147" w:rsidRPr="007C208F" w:rsidRDefault="00F12147" w:rsidP="00F12147">
      <w:pPr>
        <w:numPr>
          <w:ilvl w:val="0"/>
          <w:numId w:val="19"/>
        </w:numPr>
      </w:pPr>
      <w:r w:rsidRPr="007C208F">
        <w:t>Monthly reporting requirements appear more detailed than typical licensing regulations. We recommend referencing program manuals or guidance documents rather than embedding detailed reporting requirements in regulation.</w:t>
      </w:r>
    </w:p>
    <w:p w14:paraId="3DBE1899" w14:textId="77777777" w:rsidR="00F12147" w:rsidRPr="007C208F" w:rsidRDefault="00F12147" w:rsidP="00F12147">
      <w:pPr>
        <w:numPr>
          <w:ilvl w:val="0"/>
          <w:numId w:val="19"/>
        </w:numPr>
      </w:pPr>
      <w:r>
        <w:t>The</w:t>
      </w:r>
      <w:r w:rsidRPr="007C208F">
        <w:t xml:space="preserve"> current language</w:t>
      </w:r>
      <w:r>
        <w:t xml:space="preserve"> in 6.3.E.2 </w:t>
      </w:r>
      <w:r w:rsidRPr="007C208F">
        <w:t>is too vague for implementation</w:t>
      </w:r>
      <w:r>
        <w:t xml:space="preserve">, we would ask that it includes more than just a set of fidelity measures. </w:t>
      </w:r>
    </w:p>
    <w:p w14:paraId="4994C309" w14:textId="77777777" w:rsidR="00F12147" w:rsidRPr="0073393E" w:rsidRDefault="00F12147" w:rsidP="00F12147">
      <w:pPr>
        <w:pStyle w:val="ListParagraph"/>
        <w:rPr>
          <w:kern w:val="0"/>
          <w14:ligatures w14:val="none"/>
        </w:rPr>
      </w:pPr>
    </w:p>
    <w:p w14:paraId="231E5B89" w14:textId="77777777" w:rsidR="007407EC" w:rsidRDefault="007407EC">
      <w:pPr>
        <w:pStyle w:val="Heading2"/>
        <w:rPr>
          <w:rFonts w:eastAsia="Times New Roman"/>
          <w:kern w:val="0"/>
          <w:sz w:val="36"/>
          <w:szCs w:val="36"/>
          <w14:ligatures w14:val="none"/>
        </w:rPr>
      </w:pPr>
      <w:r>
        <w:rPr>
          <w:rFonts w:eastAsia="Times New Roman"/>
        </w:rPr>
        <w:t>2. Age Ranges and Coordination Requirements</w:t>
      </w:r>
    </w:p>
    <w:p w14:paraId="309013EA" w14:textId="48801E0F" w:rsidR="007C208F" w:rsidRDefault="007C208F" w:rsidP="007C208F">
      <w:pPr>
        <w:numPr>
          <w:ilvl w:val="0"/>
          <w:numId w:val="1"/>
        </w:numPr>
      </w:pPr>
      <w:r w:rsidRPr="007C208F">
        <w:t>Clarification is needed regarding coordination expectations across age groups. The draft specifies coordination with BHDDH</w:t>
      </w:r>
      <w:r w:rsidRPr="007C208F">
        <w:noBreakHyphen/>
        <w:t>licensed providers and CCBHCs for young adults ages 18–21</w:t>
      </w:r>
      <w:r w:rsidR="008E56C3">
        <w:t>. Our teams note</w:t>
      </w:r>
      <w:r w:rsidRPr="007C208F">
        <w:t xml:space="preserve"> that </w:t>
      </w:r>
      <w:r w:rsidRPr="00CF3516">
        <w:t>ages 2–17 should also require coordination with CCBHCs,</w:t>
      </w:r>
      <w:r w:rsidRPr="007C208F">
        <w:t xml:space="preserve"> when clinically appropriate.</w:t>
      </w:r>
    </w:p>
    <w:p w14:paraId="501E5290" w14:textId="3BBA0A77" w:rsidR="005F08C7" w:rsidRPr="007C208F" w:rsidRDefault="00F12147" w:rsidP="007C208F">
      <w:pPr>
        <w:numPr>
          <w:ilvl w:val="0"/>
          <w:numId w:val="1"/>
        </w:numPr>
      </w:pPr>
      <w:r>
        <w:t>Additionally,</w:t>
      </w:r>
      <w:r w:rsidR="005F08C7">
        <w:t xml:space="preserve"> we have questions about whether all </w:t>
      </w:r>
      <w:r>
        <w:t>18–21-year-olds</w:t>
      </w:r>
      <w:r w:rsidR="005F08C7">
        <w:t xml:space="preserve"> would be considered MRSS, or if its dependent on clinical presentation.</w:t>
      </w:r>
    </w:p>
    <w:p w14:paraId="2258BC58" w14:textId="77777777" w:rsidR="007C208F" w:rsidRPr="007C208F" w:rsidRDefault="007C208F" w:rsidP="007C208F">
      <w:pPr>
        <w:numPr>
          <w:ilvl w:val="0"/>
          <w:numId w:val="1"/>
        </w:numPr>
      </w:pPr>
      <w:r w:rsidRPr="007C208F">
        <w:t>We recommend ensuring age</w:t>
      </w:r>
      <w:r w:rsidRPr="007C208F">
        <w:noBreakHyphen/>
        <w:t>range language is consistent throughout the document.</w:t>
      </w:r>
    </w:p>
    <w:p w14:paraId="1E377AB0" w14:textId="77777777" w:rsidR="007407EC" w:rsidRDefault="007407EC">
      <w:pPr>
        <w:pStyle w:val="Heading2"/>
        <w:rPr>
          <w:rFonts w:eastAsia="Times New Roman"/>
          <w:kern w:val="0"/>
          <w:sz w:val="36"/>
          <w:szCs w:val="36"/>
          <w14:ligatures w14:val="none"/>
        </w:rPr>
      </w:pPr>
      <w:r>
        <w:rPr>
          <w:rFonts w:eastAsia="Times New Roman"/>
        </w:rPr>
        <w:t>3. Clinician Qualifications and Staffing</w:t>
      </w:r>
    </w:p>
    <w:p w14:paraId="0D74CEA3" w14:textId="2A1B13B9" w:rsidR="007C208F" w:rsidRPr="007C208F" w:rsidRDefault="007C208F" w:rsidP="007C208F">
      <w:pPr>
        <w:numPr>
          <w:ilvl w:val="0"/>
          <w:numId w:val="2"/>
        </w:numPr>
      </w:pPr>
      <w:r w:rsidRPr="007C208F">
        <w:t xml:space="preserve">The requirement that Registered Nurses hold a </w:t>
      </w:r>
      <w:r w:rsidRPr="00CF3516">
        <w:t>BSN</w:t>
      </w:r>
      <w:r w:rsidR="008E56C3" w:rsidRPr="00CF3516">
        <w:t xml:space="preserve"> </w:t>
      </w:r>
      <w:r w:rsidR="008E56C3">
        <w:t>is a concern</w:t>
      </w:r>
      <w:r w:rsidRPr="007C208F">
        <w:t xml:space="preserve">; </w:t>
      </w:r>
      <w:r w:rsidR="008E56C3">
        <w:t xml:space="preserve">Our team </w:t>
      </w:r>
      <w:r w:rsidR="00F12147">
        <w:t>does not</w:t>
      </w:r>
      <w:r w:rsidR="008E56C3">
        <w:t xml:space="preserve"> believe that</w:t>
      </w:r>
      <w:r w:rsidRPr="007C208F">
        <w:t xml:space="preserve"> RN licensure require</w:t>
      </w:r>
      <w:r w:rsidR="008E56C3">
        <w:t>s</w:t>
      </w:r>
      <w:r w:rsidRPr="007C208F">
        <w:t xml:space="preserve"> a </w:t>
      </w:r>
      <w:r w:rsidR="00CF3516" w:rsidRPr="007C208F">
        <w:t>BSN</w:t>
      </w:r>
      <w:r w:rsidR="00CF3516">
        <w:t xml:space="preserve"> and</w:t>
      </w:r>
      <w:r w:rsidR="008E56C3">
        <w:t xml:space="preserve"> feel t</w:t>
      </w:r>
      <w:r w:rsidRPr="007C208F">
        <w:t>his should be revised to simply “Registered Nurse.”</w:t>
      </w:r>
    </w:p>
    <w:p w14:paraId="5527F2A5" w14:textId="13C35BC0" w:rsidR="007C208F" w:rsidRPr="007C208F" w:rsidRDefault="007C208F" w:rsidP="007C208F">
      <w:pPr>
        <w:numPr>
          <w:ilvl w:val="0"/>
          <w:numId w:val="2"/>
        </w:numPr>
      </w:pPr>
      <w:r w:rsidRPr="00CF3516">
        <w:t>Add Licensed Mental Health Counselors (LMHC/LMHCA) to</w:t>
      </w:r>
      <w:r w:rsidRPr="007C208F">
        <w:t xml:space="preserve"> the </w:t>
      </w:r>
      <w:r w:rsidR="008E56C3">
        <w:t xml:space="preserve">definitional </w:t>
      </w:r>
      <w:r w:rsidRPr="007C208F">
        <w:t>list of recognized mental health professionals.</w:t>
      </w:r>
    </w:p>
    <w:p w14:paraId="78947CF4" w14:textId="77777777" w:rsidR="007C208F" w:rsidRPr="00CF3516" w:rsidRDefault="007C208F" w:rsidP="007C208F">
      <w:pPr>
        <w:numPr>
          <w:ilvl w:val="0"/>
          <w:numId w:val="2"/>
        </w:numPr>
      </w:pPr>
      <w:r w:rsidRPr="007C208F">
        <w:t xml:space="preserve">Clarify that the </w:t>
      </w:r>
      <w:r w:rsidRPr="00CF3516">
        <w:t>child-trained psychiatrist serves as a consulting resource, not mandatory back</w:t>
      </w:r>
      <w:r w:rsidRPr="00CF3516">
        <w:noBreakHyphen/>
        <w:t>up.</w:t>
      </w:r>
    </w:p>
    <w:p w14:paraId="738A94BF" w14:textId="325FDD38" w:rsidR="007C208F" w:rsidRPr="00CF3516" w:rsidRDefault="007C208F" w:rsidP="007C208F">
      <w:pPr>
        <w:numPr>
          <w:ilvl w:val="0"/>
          <w:numId w:val="2"/>
        </w:numPr>
      </w:pPr>
      <w:r w:rsidRPr="007C208F">
        <w:t xml:space="preserve">Clarify that “clinical supervisor” may include </w:t>
      </w:r>
      <w:r w:rsidRPr="00CF3516">
        <w:t>administrators on call.</w:t>
      </w:r>
    </w:p>
    <w:p w14:paraId="15A0B088" w14:textId="77777777" w:rsidR="007407EC" w:rsidRDefault="007407EC">
      <w:pPr>
        <w:pStyle w:val="Heading2"/>
        <w:rPr>
          <w:rFonts w:eastAsia="Times New Roman"/>
          <w:kern w:val="0"/>
          <w:sz w:val="36"/>
          <w:szCs w:val="36"/>
          <w14:ligatures w14:val="none"/>
        </w:rPr>
      </w:pPr>
      <w:r>
        <w:rPr>
          <w:rFonts w:eastAsia="Times New Roman"/>
        </w:rPr>
        <w:lastRenderedPageBreak/>
        <w:t>4. Cultural and Linguistic Competence Requirements</w:t>
      </w:r>
    </w:p>
    <w:p w14:paraId="7835B45F" w14:textId="7666391D" w:rsidR="00974259" w:rsidRDefault="00974259" w:rsidP="00974259">
      <w:pPr>
        <w:numPr>
          <w:ilvl w:val="0"/>
          <w:numId w:val="16"/>
        </w:numPr>
        <w:spacing w:line="276" w:lineRule="auto"/>
        <w:rPr>
          <w:rFonts w:eastAsia="Times New Roman"/>
          <w:kern w:val="0"/>
          <w14:ligatures w14:val="none"/>
        </w:rPr>
      </w:pPr>
      <w:r>
        <w:rPr>
          <w:rFonts w:eastAsia="Times New Roman"/>
        </w:rPr>
        <w:t xml:space="preserve">We recommend that providers make translated materials </w:t>
      </w:r>
      <w:r w:rsidRPr="0073393E">
        <w:rPr>
          <w:rFonts w:eastAsia="Times New Roman"/>
          <w:b/>
          <w:bCs/>
        </w:rPr>
        <w:t>or</w:t>
      </w:r>
      <w:r>
        <w:rPr>
          <w:rFonts w:eastAsia="Times New Roman"/>
        </w:rPr>
        <w:t xml:space="preserve"> interpreter services available for all languages. This approach gives providers the flexibility to ensure every language need is addressed, without creating an undue administrative burden by requiring written materials in every language</w:t>
      </w:r>
      <w:r w:rsidR="0073393E">
        <w:rPr>
          <w:rFonts w:eastAsia="Times New Roman"/>
        </w:rPr>
        <w:t xml:space="preserve"> that may not be used or in demand. </w:t>
      </w:r>
    </w:p>
    <w:p w14:paraId="26512149" w14:textId="25665264" w:rsidR="007C208F" w:rsidRPr="007C208F" w:rsidRDefault="007C208F" w:rsidP="007C208F">
      <w:pPr>
        <w:numPr>
          <w:ilvl w:val="0"/>
          <w:numId w:val="3"/>
        </w:numPr>
      </w:pPr>
      <w:r w:rsidRPr="007C208F">
        <w:t xml:space="preserve">Clarify whether </w:t>
      </w:r>
      <w:r w:rsidRPr="00CF3516">
        <w:t xml:space="preserve">texting </w:t>
      </w:r>
      <w:r w:rsidR="00CF3516">
        <w:t xml:space="preserve">options would </w:t>
      </w:r>
      <w:r w:rsidRPr="007C208F">
        <w:t>satisf</w:t>
      </w:r>
      <w:r w:rsidR="00CF3516">
        <w:t xml:space="preserve">y </w:t>
      </w:r>
      <w:r w:rsidRPr="007C208F">
        <w:t>accessibility requirements</w:t>
      </w:r>
      <w:r w:rsidR="00CF3516">
        <w:t xml:space="preserve"> for deaf or </w:t>
      </w:r>
      <w:r w:rsidR="0073393E">
        <w:t>hearing-impaired</w:t>
      </w:r>
      <w:r w:rsidR="00CF3516">
        <w:t xml:space="preserve"> clients.</w:t>
      </w:r>
    </w:p>
    <w:p w14:paraId="7383FEE4" w14:textId="77777777" w:rsidR="007407EC" w:rsidRDefault="007407EC">
      <w:pPr>
        <w:pStyle w:val="Heading2"/>
        <w:rPr>
          <w:rFonts w:eastAsia="Times New Roman"/>
          <w:kern w:val="0"/>
          <w:sz w:val="36"/>
          <w:szCs w:val="36"/>
          <w14:ligatures w14:val="none"/>
        </w:rPr>
      </w:pPr>
      <w:r>
        <w:rPr>
          <w:rFonts w:eastAsia="Times New Roman"/>
        </w:rPr>
        <w:t>5. Follow</w:t>
      </w:r>
      <w:r>
        <w:rPr>
          <w:rFonts w:eastAsia="Times New Roman"/>
        </w:rPr>
        <w:noBreakHyphen/>
        <w:t>Up and Stabilization Requirements</w:t>
      </w:r>
    </w:p>
    <w:p w14:paraId="2C9E03FB" w14:textId="77777777" w:rsidR="0073393E" w:rsidRPr="0073393E" w:rsidRDefault="0073393E" w:rsidP="007C208F">
      <w:pPr>
        <w:numPr>
          <w:ilvl w:val="0"/>
          <w:numId w:val="5"/>
        </w:numPr>
        <w:spacing w:line="276" w:lineRule="auto"/>
      </w:pPr>
      <w:r w:rsidRPr="0073393E">
        <w:rPr>
          <w:rFonts w:eastAsia="Times New Roman"/>
        </w:rPr>
        <w:t xml:space="preserve">We recommend that cases opened in emergency services programs remain open for follow-up contact for minimum of 30 days after initial crisis intervention, instead of the currently written requirement of 72 hours. </w:t>
      </w:r>
    </w:p>
    <w:p w14:paraId="0E2DCD0B" w14:textId="05AF2EAB" w:rsidR="007C208F" w:rsidRPr="007C208F" w:rsidRDefault="007C208F" w:rsidP="007C208F">
      <w:pPr>
        <w:numPr>
          <w:ilvl w:val="0"/>
          <w:numId w:val="5"/>
        </w:numPr>
        <w:spacing w:line="276" w:lineRule="auto"/>
      </w:pPr>
      <w:r w:rsidRPr="007C208F">
        <w:t xml:space="preserve">Families may decline weekly meetings or request </w:t>
      </w:r>
      <w:r w:rsidRPr="00E64C42">
        <w:t>telehealth</w:t>
      </w:r>
      <w:r w:rsidRPr="007C208F">
        <w:t>; documentation of these preferences should be explicitly permitted.</w:t>
      </w:r>
    </w:p>
    <w:p w14:paraId="26482734" w14:textId="77777777" w:rsidR="007407EC" w:rsidRDefault="007407EC">
      <w:pPr>
        <w:pStyle w:val="Heading2"/>
        <w:rPr>
          <w:rFonts w:eastAsia="Times New Roman"/>
          <w:kern w:val="0"/>
          <w:sz w:val="36"/>
          <w:szCs w:val="36"/>
          <w14:ligatures w14:val="none"/>
        </w:rPr>
      </w:pPr>
      <w:r>
        <w:rPr>
          <w:rFonts w:eastAsia="Times New Roman"/>
        </w:rPr>
        <w:t>6. Law Enforcement Involvement</w:t>
      </w:r>
    </w:p>
    <w:p w14:paraId="32F60F0D" w14:textId="77777777" w:rsidR="00CF3516" w:rsidRDefault="007C208F" w:rsidP="00CF3516">
      <w:pPr>
        <w:numPr>
          <w:ilvl w:val="0"/>
          <w:numId w:val="6"/>
        </w:numPr>
      </w:pPr>
      <w:r w:rsidRPr="007C208F">
        <w:t xml:space="preserve">The phrase “avoid law enforcement involvement” should be replaced with language aligned with </w:t>
      </w:r>
      <w:r w:rsidR="00CF3516">
        <w:t>the best practice document:</w:t>
      </w:r>
    </w:p>
    <w:p w14:paraId="4BFBEE87" w14:textId="59C6995B" w:rsidR="00E64C42" w:rsidRPr="007C208F" w:rsidRDefault="00E64C42" w:rsidP="00CF3516">
      <w:pPr>
        <w:numPr>
          <w:ilvl w:val="1"/>
          <w:numId w:val="6"/>
        </w:numPr>
      </w:pPr>
      <w:r w:rsidRPr="00E64C42">
        <w:t>MRSS responds without law enforcement unless safety concerns necessitate their involvement as a last resort. Must include child or youth and family or caregiver’s input in the decision to involve law enforcement when possible and ensure child or youth/family or caregiver is aware of the use of law enforcement prior to arrival.</w:t>
      </w:r>
    </w:p>
    <w:p w14:paraId="5C1BEFCD" w14:textId="77777777" w:rsidR="007407EC" w:rsidRDefault="007407EC">
      <w:pPr>
        <w:pStyle w:val="Heading2"/>
        <w:rPr>
          <w:rFonts w:eastAsia="Times New Roman"/>
          <w:kern w:val="0"/>
          <w:sz w:val="36"/>
          <w:szCs w:val="36"/>
          <w14:ligatures w14:val="none"/>
        </w:rPr>
      </w:pPr>
      <w:r>
        <w:rPr>
          <w:rFonts w:eastAsia="Times New Roman"/>
        </w:rPr>
        <w:t>7. Assessment and Screening Tools</w:t>
      </w:r>
    </w:p>
    <w:p w14:paraId="298A2CA8" w14:textId="77777777" w:rsidR="00F12147" w:rsidRDefault="00F12147" w:rsidP="00F12147">
      <w:pPr>
        <w:numPr>
          <w:ilvl w:val="0"/>
          <w:numId w:val="25"/>
        </w:numPr>
        <w:spacing w:line="276" w:lineRule="auto"/>
        <w:rPr>
          <w:rFonts w:eastAsia="Times New Roman"/>
          <w:kern w:val="0"/>
          <w14:ligatures w14:val="none"/>
        </w:rPr>
      </w:pPr>
      <w:r>
        <w:rPr>
          <w:rFonts w:eastAsia="Times New Roman"/>
        </w:rPr>
        <w:t>Please clarify the specific criteria and expectations for the biopsychosocial assessment, as the current description does not clearly outline whether it is intended to be a “BPSA light” version or something else.</w:t>
      </w:r>
    </w:p>
    <w:p w14:paraId="383EC7B9" w14:textId="77777777" w:rsidR="007C208F" w:rsidRPr="007C208F" w:rsidRDefault="007C208F" w:rsidP="007C208F">
      <w:pPr>
        <w:numPr>
          <w:ilvl w:val="0"/>
          <w:numId w:val="7"/>
        </w:numPr>
      </w:pPr>
      <w:r w:rsidRPr="007C208F">
        <w:t>Clarify which screening tools are required (e.g., CANS only, or additional tools).</w:t>
      </w:r>
    </w:p>
    <w:p w14:paraId="0A7D43E7" w14:textId="77777777" w:rsidR="007407EC" w:rsidRDefault="007407EC">
      <w:pPr>
        <w:pStyle w:val="Heading2"/>
        <w:rPr>
          <w:rFonts w:eastAsia="Times New Roman"/>
          <w:kern w:val="0"/>
          <w:sz w:val="36"/>
          <w:szCs w:val="36"/>
          <w14:ligatures w14:val="none"/>
        </w:rPr>
      </w:pPr>
      <w:r>
        <w:rPr>
          <w:rFonts w:eastAsia="Times New Roman"/>
        </w:rPr>
        <w:t>8. Training Requirements</w:t>
      </w:r>
    </w:p>
    <w:p w14:paraId="76388D8B" w14:textId="77777777" w:rsidR="007C208F" w:rsidRPr="007C208F" w:rsidRDefault="007C208F" w:rsidP="007C208F">
      <w:pPr>
        <w:numPr>
          <w:ilvl w:val="0"/>
          <w:numId w:val="8"/>
        </w:numPr>
      </w:pPr>
      <w:r w:rsidRPr="007C208F">
        <w:t>Ten hours of annual child</w:t>
      </w:r>
      <w:r w:rsidRPr="007C208F">
        <w:noBreakHyphen/>
        <w:t>specific emergency services training is reasonable, but alignment with MRSS training requirements should be clarified.</w:t>
      </w:r>
    </w:p>
    <w:p w14:paraId="729AF964" w14:textId="5D4BFE73" w:rsidR="007C208F" w:rsidRPr="007C208F" w:rsidRDefault="00461CAF" w:rsidP="007C208F">
      <w:pPr>
        <w:numPr>
          <w:ilvl w:val="0"/>
          <w:numId w:val="8"/>
        </w:numPr>
      </w:pPr>
      <w:r>
        <w:lastRenderedPageBreak/>
        <w:t xml:space="preserve">Our team is seeking clarity if the </w:t>
      </w:r>
      <w:r w:rsidR="007C208F" w:rsidRPr="007C208F">
        <w:t xml:space="preserve">required training courses </w:t>
      </w:r>
      <w:r>
        <w:t>in Section F. Subsection 2.C need to be completed once and documented in staff training records or at a different frequency.</w:t>
      </w:r>
    </w:p>
    <w:p w14:paraId="24903D78" w14:textId="26FA3AE3" w:rsidR="007407EC" w:rsidRDefault="00F12147">
      <w:pPr>
        <w:pStyle w:val="Heading2"/>
        <w:rPr>
          <w:rFonts w:eastAsia="Times New Roman"/>
          <w:kern w:val="0"/>
          <w:sz w:val="36"/>
          <w:szCs w:val="36"/>
          <w14:ligatures w14:val="none"/>
        </w:rPr>
      </w:pPr>
      <w:r>
        <w:rPr>
          <w:rFonts w:eastAsia="Times New Roman"/>
        </w:rPr>
        <w:t>9</w:t>
      </w:r>
      <w:r w:rsidR="007407EC">
        <w:rPr>
          <w:rFonts w:eastAsia="Times New Roman"/>
        </w:rPr>
        <w:t>. MRSS Billing and DCO Agreements</w:t>
      </w:r>
    </w:p>
    <w:p w14:paraId="55C13C3C" w14:textId="77777777" w:rsidR="007C208F" w:rsidRPr="007C208F" w:rsidRDefault="007C208F" w:rsidP="007C208F">
      <w:pPr>
        <w:numPr>
          <w:ilvl w:val="0"/>
          <w:numId w:val="10"/>
        </w:numPr>
      </w:pPr>
      <w:r w:rsidRPr="007C208F">
        <w:t xml:space="preserve">Clarify how MRSS billing interacts with </w:t>
      </w:r>
      <w:r w:rsidRPr="007C208F">
        <w:rPr>
          <w:b/>
          <w:bCs/>
        </w:rPr>
        <w:t>CCBHC population billing</w:t>
      </w:r>
      <w:r w:rsidRPr="007C208F">
        <w:t>, including:</w:t>
      </w:r>
    </w:p>
    <w:p w14:paraId="7130BEE8" w14:textId="77777777" w:rsidR="007C208F" w:rsidRPr="007C208F" w:rsidRDefault="007C208F" w:rsidP="007C208F">
      <w:pPr>
        <w:numPr>
          <w:ilvl w:val="1"/>
          <w:numId w:val="10"/>
        </w:numPr>
      </w:pPr>
      <w:r w:rsidRPr="007C208F">
        <w:t>Shadow billing codes for crisis assessment, follow</w:t>
      </w:r>
      <w:r w:rsidRPr="007C208F">
        <w:noBreakHyphen/>
        <w:t>up, and stabilization.</w:t>
      </w:r>
    </w:p>
    <w:p w14:paraId="7618C6CF" w14:textId="497752F7" w:rsidR="007C208F" w:rsidRPr="007C208F" w:rsidRDefault="007C208F" w:rsidP="007C208F">
      <w:pPr>
        <w:numPr>
          <w:ilvl w:val="1"/>
          <w:numId w:val="10"/>
        </w:numPr>
      </w:pPr>
      <w:r w:rsidRPr="007C208F">
        <w:t>Whether MRSS and CCBHC services may be billed in the same month</w:t>
      </w:r>
      <w:r w:rsidR="00E64C42">
        <w:t xml:space="preserve"> in year 3 of CCBHC</w:t>
      </w:r>
      <w:r w:rsidRPr="007C208F">
        <w:t>.</w:t>
      </w:r>
      <w:r w:rsidR="00E64C42">
        <w:t xml:space="preserve"> Our teams would appreciate the rate structure for additional understanding.</w:t>
      </w:r>
    </w:p>
    <w:p w14:paraId="2F8FEF35" w14:textId="77777777" w:rsidR="007C208F" w:rsidRPr="007C208F" w:rsidRDefault="007C208F" w:rsidP="007C208F">
      <w:pPr>
        <w:numPr>
          <w:ilvl w:val="1"/>
          <w:numId w:val="10"/>
        </w:numPr>
      </w:pPr>
      <w:r w:rsidRPr="007C208F">
        <w:t>How billing works when clients move between programs (e.g., HAC, HT, outpatient).</w:t>
      </w:r>
    </w:p>
    <w:p w14:paraId="3FD88F68" w14:textId="539996D7" w:rsidR="007C208F" w:rsidRPr="007C208F" w:rsidRDefault="00CF3516" w:rsidP="007C208F">
      <w:pPr>
        <w:numPr>
          <w:ilvl w:val="0"/>
          <w:numId w:val="10"/>
        </w:numPr>
      </w:pPr>
      <w:r>
        <w:t xml:space="preserve">Our team feels the </w:t>
      </w:r>
      <w:r w:rsidR="007C208F" w:rsidRPr="007C208F">
        <w:t xml:space="preserve">MRSS–CCBHC agreements </w:t>
      </w:r>
      <w:r>
        <w:t>should be considered</w:t>
      </w:r>
      <w:r w:rsidR="007C208F" w:rsidRPr="007C208F">
        <w:t xml:space="preserve"> </w:t>
      </w:r>
      <w:r w:rsidR="007C208F" w:rsidRPr="00CF3516">
        <w:t>care coordination agreements</w:t>
      </w:r>
      <w:r w:rsidR="007C208F" w:rsidRPr="007C208F">
        <w:t>, not DCO arrangements</w:t>
      </w:r>
      <w:r>
        <w:t>, since these are non-financial agreements.</w:t>
      </w:r>
    </w:p>
    <w:p w14:paraId="77038C52" w14:textId="0A8292DC" w:rsidR="007407EC" w:rsidRDefault="007407EC">
      <w:pPr>
        <w:pStyle w:val="Heading2"/>
        <w:rPr>
          <w:rFonts w:eastAsia="Times New Roman"/>
          <w:kern w:val="0"/>
          <w:sz w:val="36"/>
          <w:szCs w:val="36"/>
          <w14:ligatures w14:val="none"/>
        </w:rPr>
      </w:pPr>
      <w:r>
        <w:rPr>
          <w:rFonts w:eastAsia="Times New Roman"/>
        </w:rPr>
        <w:t>1</w:t>
      </w:r>
      <w:r w:rsidR="00F12147">
        <w:rPr>
          <w:rFonts w:eastAsia="Times New Roman"/>
        </w:rPr>
        <w:t>0</w:t>
      </w:r>
      <w:r>
        <w:rPr>
          <w:rFonts w:eastAsia="Times New Roman"/>
        </w:rPr>
        <w:t>. Additional Clarifications</w:t>
      </w:r>
    </w:p>
    <w:p w14:paraId="0E3E8252" w14:textId="353DAEAF" w:rsidR="007C208F" w:rsidRDefault="007C208F" w:rsidP="007C208F">
      <w:pPr>
        <w:numPr>
          <w:ilvl w:val="0"/>
          <w:numId w:val="13"/>
        </w:numPr>
      </w:pPr>
      <w:r w:rsidRPr="007C208F">
        <w:t>Clarify the meaning of “coordinate with E</w:t>
      </w:r>
      <w:r w:rsidR="00E64C42">
        <w:t xml:space="preserve">mergency services </w:t>
      </w:r>
      <w:r w:rsidR="00E64C42" w:rsidRPr="007C208F">
        <w:t>within</w:t>
      </w:r>
      <w:r w:rsidRPr="007C208F">
        <w:t xml:space="preserve"> 24 hours.”</w:t>
      </w:r>
      <w:r w:rsidR="00E64C42">
        <w:t xml:space="preserve"> in 6.3.B.1.a.iii</w:t>
      </w:r>
      <w:r w:rsidR="00F12147">
        <w:t xml:space="preserve">. </w:t>
      </w:r>
      <w:r w:rsidR="00E64C42">
        <w:t xml:space="preserve">does this mean EMS, ES Staff, or the hospital / ER? </w:t>
      </w:r>
    </w:p>
    <w:p w14:paraId="2F6C5E5A" w14:textId="1A633449" w:rsidR="005F08C7" w:rsidRPr="007C208F" w:rsidRDefault="005F08C7" w:rsidP="007C208F">
      <w:pPr>
        <w:numPr>
          <w:ilvl w:val="0"/>
          <w:numId w:val="13"/>
        </w:numPr>
      </w:pPr>
      <w:r>
        <w:t>Broadly we have questions about the differentiation between the two levels of licensure, our teams wonder how exactly someone would be qualified as ES versus MRSS.</w:t>
      </w:r>
    </w:p>
    <w:p w14:paraId="0F1A33BF" w14:textId="77777777" w:rsidR="007C208F" w:rsidRPr="007C208F" w:rsidRDefault="007C208F" w:rsidP="007C208F">
      <w:pPr>
        <w:numPr>
          <w:ilvl w:val="0"/>
          <w:numId w:val="13"/>
        </w:numPr>
      </w:pPr>
      <w:r w:rsidRPr="007C208F">
        <w:t>Ensure consistent terminology across ES and MRSS sections.</w:t>
      </w:r>
    </w:p>
    <w:p w14:paraId="61F6761D" w14:textId="77777777" w:rsidR="007407EC" w:rsidRDefault="007407EC">
      <w:pPr>
        <w:pStyle w:val="Heading2"/>
        <w:rPr>
          <w:rFonts w:eastAsia="Times New Roman"/>
          <w:kern w:val="0"/>
          <w:sz w:val="36"/>
          <w:szCs w:val="36"/>
          <w14:ligatures w14:val="none"/>
        </w:rPr>
      </w:pPr>
      <w:r>
        <w:rPr>
          <w:rFonts w:eastAsia="Times New Roman"/>
        </w:rPr>
        <w:t>Conclusion</w:t>
      </w:r>
    </w:p>
    <w:p w14:paraId="5D05B467" w14:textId="77777777" w:rsidR="007C208F" w:rsidRPr="007C208F" w:rsidRDefault="007C208F" w:rsidP="007C208F">
      <w:r w:rsidRPr="007C208F">
        <w:t>We appreciate the Department’s efforts to strengthen Rhode Island’s children’s behavioral health crisis system and support the intent of these regulations. The clarifications and adjustments outlined above will help ensure the regulations are operationally feasible, clinically sound, and aligned with best practices.</w:t>
      </w:r>
    </w:p>
    <w:p w14:paraId="3EE6B68C" w14:textId="77777777" w:rsidR="007C208F" w:rsidRPr="007C208F" w:rsidRDefault="007C208F" w:rsidP="007C208F">
      <w:r w:rsidRPr="007C208F">
        <w:t>We welcome continued collaboration and would be pleased to discuss any of these comments further.</w:t>
      </w:r>
    </w:p>
    <w:sectPr w:rsidR="007C208F" w:rsidRPr="007C2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B56"/>
    <w:multiLevelType w:val="multilevel"/>
    <w:tmpl w:val="3D78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07E2"/>
    <w:multiLevelType w:val="multilevel"/>
    <w:tmpl w:val="2CC4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3147"/>
    <w:multiLevelType w:val="multilevel"/>
    <w:tmpl w:val="565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1208F"/>
    <w:multiLevelType w:val="multilevel"/>
    <w:tmpl w:val="9AA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307D9"/>
    <w:multiLevelType w:val="multilevel"/>
    <w:tmpl w:val="633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A3890"/>
    <w:multiLevelType w:val="multilevel"/>
    <w:tmpl w:val="65A0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55133"/>
    <w:multiLevelType w:val="multilevel"/>
    <w:tmpl w:val="963A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E3036"/>
    <w:multiLevelType w:val="multilevel"/>
    <w:tmpl w:val="A7D4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266E1"/>
    <w:multiLevelType w:val="multilevel"/>
    <w:tmpl w:val="27C8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26A20"/>
    <w:multiLevelType w:val="multilevel"/>
    <w:tmpl w:val="2D32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F60BD"/>
    <w:multiLevelType w:val="multilevel"/>
    <w:tmpl w:val="F15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45554"/>
    <w:multiLevelType w:val="multilevel"/>
    <w:tmpl w:val="990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94125"/>
    <w:multiLevelType w:val="multilevel"/>
    <w:tmpl w:val="B74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E1B34"/>
    <w:multiLevelType w:val="multilevel"/>
    <w:tmpl w:val="9662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C478E"/>
    <w:multiLevelType w:val="multilevel"/>
    <w:tmpl w:val="C082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D4C99"/>
    <w:multiLevelType w:val="multilevel"/>
    <w:tmpl w:val="C3A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317B4"/>
    <w:multiLevelType w:val="multilevel"/>
    <w:tmpl w:val="36C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14F95"/>
    <w:multiLevelType w:val="hybridMultilevel"/>
    <w:tmpl w:val="3B2A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0364A"/>
    <w:multiLevelType w:val="multilevel"/>
    <w:tmpl w:val="FF1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D37AB"/>
    <w:multiLevelType w:val="multilevel"/>
    <w:tmpl w:val="8F3EE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14131"/>
    <w:multiLevelType w:val="multilevel"/>
    <w:tmpl w:val="587A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345DC"/>
    <w:multiLevelType w:val="multilevel"/>
    <w:tmpl w:val="8CC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76DAE"/>
    <w:multiLevelType w:val="multilevel"/>
    <w:tmpl w:val="E10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0E4BF6"/>
    <w:multiLevelType w:val="hybridMultilevel"/>
    <w:tmpl w:val="9CF4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D5E6D"/>
    <w:multiLevelType w:val="multilevel"/>
    <w:tmpl w:val="A99A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21040">
    <w:abstractNumId w:val="18"/>
  </w:num>
  <w:num w:numId="2" w16cid:durableId="44762823">
    <w:abstractNumId w:val="20"/>
  </w:num>
  <w:num w:numId="3" w16cid:durableId="1970277537">
    <w:abstractNumId w:val="5"/>
  </w:num>
  <w:num w:numId="4" w16cid:durableId="1807504615">
    <w:abstractNumId w:val="4"/>
  </w:num>
  <w:num w:numId="5" w16cid:durableId="1582911825">
    <w:abstractNumId w:val="22"/>
  </w:num>
  <w:num w:numId="6" w16cid:durableId="337318166">
    <w:abstractNumId w:val="19"/>
  </w:num>
  <w:num w:numId="7" w16cid:durableId="890111967">
    <w:abstractNumId w:val="8"/>
  </w:num>
  <w:num w:numId="8" w16cid:durableId="1887600169">
    <w:abstractNumId w:val="7"/>
  </w:num>
  <w:num w:numId="9" w16cid:durableId="368998139">
    <w:abstractNumId w:val="12"/>
  </w:num>
  <w:num w:numId="10" w16cid:durableId="1414545546">
    <w:abstractNumId w:val="13"/>
  </w:num>
  <w:num w:numId="11" w16cid:durableId="619186379">
    <w:abstractNumId w:val="9"/>
  </w:num>
  <w:num w:numId="12" w16cid:durableId="114718194">
    <w:abstractNumId w:val="24"/>
  </w:num>
  <w:num w:numId="13" w16cid:durableId="1301808001">
    <w:abstractNumId w:val="2"/>
  </w:num>
  <w:num w:numId="14" w16cid:durableId="978222301">
    <w:abstractNumId w:val="3"/>
  </w:num>
  <w:num w:numId="15" w16cid:durableId="1511602766">
    <w:abstractNumId w:val="11"/>
  </w:num>
  <w:num w:numId="16" w16cid:durableId="1608541453">
    <w:abstractNumId w:val="10"/>
  </w:num>
  <w:num w:numId="17" w16cid:durableId="1836993060">
    <w:abstractNumId w:val="17"/>
  </w:num>
  <w:num w:numId="18" w16cid:durableId="428425912">
    <w:abstractNumId w:val="0"/>
  </w:num>
  <w:num w:numId="19" w16cid:durableId="657735516">
    <w:abstractNumId w:val="23"/>
  </w:num>
  <w:num w:numId="20" w16cid:durableId="174341948">
    <w:abstractNumId w:val="14"/>
  </w:num>
  <w:num w:numId="21" w16cid:durableId="412821885">
    <w:abstractNumId w:val="21"/>
  </w:num>
  <w:num w:numId="22" w16cid:durableId="275136638">
    <w:abstractNumId w:val="16"/>
  </w:num>
  <w:num w:numId="23" w16cid:durableId="756555129">
    <w:abstractNumId w:val="6"/>
  </w:num>
  <w:num w:numId="24" w16cid:durableId="280961093">
    <w:abstractNumId w:val="1"/>
  </w:num>
  <w:num w:numId="25" w16cid:durableId="1705905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8F"/>
    <w:rsid w:val="001F2BC9"/>
    <w:rsid w:val="003B189E"/>
    <w:rsid w:val="003D40F7"/>
    <w:rsid w:val="00461CAF"/>
    <w:rsid w:val="005F08C7"/>
    <w:rsid w:val="0073393E"/>
    <w:rsid w:val="007407EC"/>
    <w:rsid w:val="007C1F65"/>
    <w:rsid w:val="007C208F"/>
    <w:rsid w:val="008E56C3"/>
    <w:rsid w:val="00974259"/>
    <w:rsid w:val="00AF483A"/>
    <w:rsid w:val="00B16847"/>
    <w:rsid w:val="00B33C6F"/>
    <w:rsid w:val="00B828F4"/>
    <w:rsid w:val="00CF3516"/>
    <w:rsid w:val="00D84657"/>
    <w:rsid w:val="00E64C42"/>
    <w:rsid w:val="00E853DB"/>
    <w:rsid w:val="00F12147"/>
    <w:rsid w:val="00F7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91B3"/>
  <w15:chartTrackingRefBased/>
  <w15:docId w15:val="{B2B630CD-C7C7-473E-BC78-1DC0F375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08F"/>
    <w:rPr>
      <w:rFonts w:eastAsiaTheme="majorEastAsia" w:cstheme="majorBidi"/>
      <w:color w:val="272727" w:themeColor="text1" w:themeTint="D8"/>
    </w:rPr>
  </w:style>
  <w:style w:type="paragraph" w:styleId="Title">
    <w:name w:val="Title"/>
    <w:basedOn w:val="Normal"/>
    <w:next w:val="Normal"/>
    <w:link w:val="TitleChar"/>
    <w:uiPriority w:val="10"/>
    <w:qFormat/>
    <w:rsid w:val="007C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08F"/>
    <w:pPr>
      <w:spacing w:before="160"/>
      <w:jc w:val="center"/>
    </w:pPr>
    <w:rPr>
      <w:i/>
      <w:iCs/>
      <w:color w:val="404040" w:themeColor="text1" w:themeTint="BF"/>
    </w:rPr>
  </w:style>
  <w:style w:type="character" w:customStyle="1" w:styleId="QuoteChar">
    <w:name w:val="Quote Char"/>
    <w:basedOn w:val="DefaultParagraphFont"/>
    <w:link w:val="Quote"/>
    <w:uiPriority w:val="29"/>
    <w:rsid w:val="007C208F"/>
    <w:rPr>
      <w:i/>
      <w:iCs/>
      <w:color w:val="404040" w:themeColor="text1" w:themeTint="BF"/>
    </w:rPr>
  </w:style>
  <w:style w:type="paragraph" w:styleId="ListParagraph">
    <w:name w:val="List Paragraph"/>
    <w:basedOn w:val="Normal"/>
    <w:uiPriority w:val="34"/>
    <w:qFormat/>
    <w:rsid w:val="007C208F"/>
    <w:pPr>
      <w:ind w:left="720"/>
      <w:contextualSpacing/>
    </w:pPr>
  </w:style>
  <w:style w:type="character" w:styleId="IntenseEmphasis">
    <w:name w:val="Intense Emphasis"/>
    <w:basedOn w:val="DefaultParagraphFont"/>
    <w:uiPriority w:val="21"/>
    <w:qFormat/>
    <w:rsid w:val="007C208F"/>
    <w:rPr>
      <w:i/>
      <w:iCs/>
      <w:color w:val="0F4761" w:themeColor="accent1" w:themeShade="BF"/>
    </w:rPr>
  </w:style>
  <w:style w:type="paragraph" w:styleId="IntenseQuote">
    <w:name w:val="Intense Quote"/>
    <w:basedOn w:val="Normal"/>
    <w:next w:val="Normal"/>
    <w:link w:val="IntenseQuoteChar"/>
    <w:uiPriority w:val="30"/>
    <w:qFormat/>
    <w:rsid w:val="007C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08F"/>
    <w:rPr>
      <w:i/>
      <w:iCs/>
      <w:color w:val="0F4761" w:themeColor="accent1" w:themeShade="BF"/>
    </w:rPr>
  </w:style>
  <w:style w:type="character" w:styleId="IntenseReference">
    <w:name w:val="Intense Reference"/>
    <w:basedOn w:val="DefaultParagraphFont"/>
    <w:uiPriority w:val="32"/>
    <w:qFormat/>
    <w:rsid w:val="007C208F"/>
    <w:rPr>
      <w:b/>
      <w:bCs/>
      <w:smallCaps/>
      <w:color w:val="0F4761" w:themeColor="accent1" w:themeShade="BF"/>
      <w:spacing w:val="5"/>
    </w:rPr>
  </w:style>
  <w:style w:type="paragraph" w:styleId="NormalWeb">
    <w:name w:val="Normal (Web)"/>
    <w:basedOn w:val="Normal"/>
    <w:uiPriority w:val="99"/>
    <w:semiHidden/>
    <w:unhideWhenUsed/>
    <w:rsid w:val="007407EC"/>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Kurman</dc:creator>
  <cp:keywords/>
  <dc:description/>
  <cp:lastModifiedBy>Josh Kurman</cp:lastModifiedBy>
  <cp:revision>2</cp:revision>
  <dcterms:created xsi:type="dcterms:W3CDTF">2026-03-18T17:05:00Z</dcterms:created>
  <dcterms:modified xsi:type="dcterms:W3CDTF">2026-03-18T17:05:00Z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1dcf8f-6746-42cd-be22-d20fd12595b5_Enabled">
    <vt:lpwstr>true</vt:lpwstr>
  </property>
  <property fmtid="{D5CDD505-2E9C-101B-9397-08002B2CF9AE}" pid="3" name="MSIP_Label_151dcf8f-6746-42cd-be22-d20fd12595b5_SetDate">
    <vt:lpwstr>2026-03-16T17:03:05Z</vt:lpwstr>
  </property>
  <property fmtid="{D5CDD505-2E9C-101B-9397-08002B2CF9AE}" pid="4" name="MSIP_Label_151dcf8f-6746-42cd-be22-d20fd12595b5_Method">
    <vt:lpwstr>Standard</vt:lpwstr>
  </property>
  <property fmtid="{D5CDD505-2E9C-101B-9397-08002B2CF9AE}" pid="5" name="MSIP_Label_151dcf8f-6746-42cd-be22-d20fd12595b5_Name">
    <vt:lpwstr>defa4170-0d19-0005-0004-bc88714345d2</vt:lpwstr>
  </property>
  <property fmtid="{D5CDD505-2E9C-101B-9397-08002B2CF9AE}" pid="6" name="MSIP_Label_151dcf8f-6746-42cd-be22-d20fd12595b5_SiteId">
    <vt:lpwstr>728c6271-6aa6-47b3-ba54-ca9528e1be7c</vt:lpwstr>
  </property>
  <property fmtid="{D5CDD505-2E9C-101B-9397-08002B2CF9AE}" pid="7" name="MSIP_Label_151dcf8f-6746-42cd-be22-d20fd12595b5_ActionId">
    <vt:lpwstr>e96b27b4-9f5f-4564-82c8-403422a6de89</vt:lpwstr>
  </property>
  <property fmtid="{D5CDD505-2E9C-101B-9397-08002B2CF9AE}" pid="8" name="MSIP_Label_151dcf8f-6746-42cd-be22-d20fd12595b5_ContentBits">
    <vt:lpwstr>0</vt:lpwstr>
  </property>
  <property fmtid="{D5CDD505-2E9C-101B-9397-08002B2CF9AE}" pid="9" name="MSIP_Label_151dcf8f-6746-42cd-be22-d20fd12595b5_Tag">
    <vt:lpwstr>10, 3, 0, 1</vt:lpwstr>
  </property>
</Properties>
</file>